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4C" w:rsidRDefault="00CE034C" w:rsidP="00CE034C">
      <w:pPr>
        <w:jc w:val="center"/>
      </w:pPr>
      <w:r>
        <w:t>Quiz 4</w:t>
      </w:r>
    </w:p>
    <w:p w:rsidR="00CE034C" w:rsidRDefault="00CE034C" w:rsidP="001B6C0F"/>
    <w:p w:rsidR="00CE034C" w:rsidRDefault="00CE034C" w:rsidP="001B6C0F"/>
    <w:p w:rsidR="00C83480" w:rsidRPr="00C83480" w:rsidRDefault="00CE034C" w:rsidP="001B6C0F">
      <w:r>
        <w:t>1</w:t>
      </w:r>
      <w:r w:rsidR="00B763D5">
        <w:t xml:space="preserve">. </w:t>
      </w:r>
      <w:r w:rsidR="00C83480" w:rsidRPr="00C83480">
        <w:t>There is a region of the genome with a three base</w:t>
      </w:r>
      <w:r w:rsidR="00101FB0">
        <w:t xml:space="preserve"> </w:t>
      </w:r>
      <w:r w:rsidR="00C83480" w:rsidRPr="00C83480">
        <w:t>pair repeat (CAG)</w:t>
      </w:r>
      <w:r w:rsidR="00C83480" w:rsidRPr="00C83480">
        <w:rPr>
          <w:vertAlign w:val="subscript"/>
        </w:rPr>
        <w:t>n</w:t>
      </w:r>
      <w:r w:rsidR="00C83480" w:rsidRPr="00C83480">
        <w:t xml:space="preserve"> and unique primers are designed flanking this region.  PCR is used to amplify the repetitive region and gel electrophoresis is used to determine the number of repeats in Bob and Jane.  </w:t>
      </w:r>
    </w:p>
    <w:p w:rsidR="00C83480" w:rsidRPr="00C83480" w:rsidRDefault="00880A9B" w:rsidP="00C83480">
      <w:r>
        <w:pict>
          <v:shapetype id="_x0000_t202" coordsize="21600,21600" o:spt="202" path="m,l,21600r21600,l21600,xe">
            <v:stroke joinstyle="miter"/>
            <v:path gradientshapeok="t" o:connecttype="rect"/>
          </v:shapetype>
          <v:shape id="_x0000_s1065" type="#_x0000_t202" style="position:absolute;margin-left:207pt;margin-top:3.6pt;width:36pt;height:18pt;z-index:251656704" stroked="f" strokeweight="0">
            <v:textbox>
              <w:txbxContent>
                <w:p w:rsidR="00C83480" w:rsidRPr="00AC0877" w:rsidRDefault="00C83480" w:rsidP="00C83480">
                  <w:pPr>
                    <w:rPr>
                      <w:vertAlign w:val="subscript"/>
                    </w:rPr>
                  </w:pPr>
                  <w:r>
                    <w:t>Jane</w:t>
                  </w:r>
                </w:p>
              </w:txbxContent>
            </v:textbox>
          </v:shape>
        </w:pict>
      </w:r>
      <w:r>
        <w:pict>
          <v:shape id="_x0000_s1064" type="#_x0000_t202" style="position:absolute;margin-left:135pt;margin-top:3.6pt;width:36pt;height:18pt;z-index:251655680" stroked="f" strokeweight="0">
            <v:textbox>
              <w:txbxContent>
                <w:p w:rsidR="00C83480" w:rsidRPr="00AC0877" w:rsidRDefault="00C83480" w:rsidP="00C83480">
                  <w:pPr>
                    <w:rPr>
                      <w:vertAlign w:val="subscript"/>
                    </w:rPr>
                  </w:pPr>
                  <w:r>
                    <w:t>Bob</w:t>
                  </w:r>
                </w:p>
              </w:txbxContent>
            </v:textbox>
          </v:shape>
        </w:pict>
      </w:r>
    </w:p>
    <w:p w:rsidR="00C83480" w:rsidRPr="00C83480" w:rsidRDefault="00C83480" w:rsidP="00C83480"/>
    <w:p w:rsidR="00C83480" w:rsidRPr="00C83480" w:rsidRDefault="00880A9B" w:rsidP="00C83480">
      <w:r>
        <w:pict>
          <v:shape id="_x0000_s1063" type="#_x0000_t202" style="position:absolute;margin-left:27pt;margin-top:12pt;width:63pt;height:25.2pt;z-index:251654656" stroked="f" strokeweight="0">
            <v:textbox>
              <w:txbxContent>
                <w:p w:rsidR="00C83480" w:rsidRPr="00AC0877" w:rsidRDefault="00C83480" w:rsidP="00C83480">
                  <w:pPr>
                    <w:rPr>
                      <w:vertAlign w:val="subscript"/>
                    </w:rPr>
                  </w:pPr>
                  <w:r>
                    <w:t>(CAG)</w:t>
                  </w:r>
                  <w:r w:rsidRPr="00AC0877">
                    <w:rPr>
                      <w:vertAlign w:val="subscript"/>
                    </w:rPr>
                    <w:t>2</w:t>
                  </w:r>
                  <w:r>
                    <w:rPr>
                      <w:vertAlign w:val="subscript"/>
                    </w:rPr>
                    <w:t>5</w:t>
                  </w:r>
                </w:p>
              </w:txbxContent>
            </v:textbox>
          </v:shape>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9" type="#_x0000_t67" style="position:absolute;margin-left:258.75pt;margin-top:3pt;width:11.25pt;height:117pt;z-index:251650560"/>
        </w:pict>
      </w:r>
      <w:r>
        <w:pict>
          <v:shape id="_x0000_s1060" type="#_x0000_t202" style="position:absolute;margin-left:270pt;margin-top:3pt;width:1in;height:25.2pt;z-index:251651584" stroked="f" strokeweight="0">
            <v:textbox>
              <w:txbxContent>
                <w:p w:rsidR="00C83480" w:rsidRDefault="00C83480" w:rsidP="00C83480">
                  <w:r>
                    <w:t>Larger</w:t>
                  </w:r>
                </w:p>
              </w:txbxContent>
            </v:textbox>
          </v:shape>
        </w:pict>
      </w:r>
      <w:r>
        <w:pict>
          <v:line id="_x0000_s1058" style="position:absolute;z-index:251649536" from="147.05pt,22.8pt" to="164.65pt,22.8pt" strokeweight="1.52mm"/>
        </w:pict>
      </w: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7" type="#_x0000_t13" style="position:absolute;margin-left:94.15pt;margin-top:15.5pt;width:24.4pt;height:15.75pt;z-index:251648512;mso-wrap-style:none;v-text-anchor:middle" fillcolor="black">
            <v:stroke joinstyle="round"/>
          </v:shape>
        </w:pict>
      </w:r>
      <w:r>
        <w:pict>
          <v:line id="_x0000_s1056" style="position:absolute;z-index:251647488" from="145.95pt,88.6pt" to="163.55pt,88.6pt" strokeweight="1.52mm"/>
        </w:pict>
      </w:r>
      <w:r>
        <w:pict>
          <v:shape id="_x0000_s1054" type="#_x0000_t13" style="position:absolute;margin-left:93.75pt;margin-top:83.25pt;width:24.4pt;height:15.75pt;z-index:251645440;mso-wrap-style:none;v-text-anchor:middle" fillcolor="black">
            <v:stroke joinstyle="round"/>
          </v:shape>
        </w:pict>
      </w:r>
      <w:r>
        <w:pict>
          <v:rect id="_x0000_s1053" style="position:absolute;margin-left:122.3pt;margin-top:.9pt;width:132pt;height:119.65pt;z-index:251644416;mso-wrap-style:none;v-text-anchor:middle">
            <v:fill r:id="rId7" o:title="" color2="black" type="tile"/>
            <v:stroke joinstyle="round"/>
          </v:rect>
        </w:pict>
      </w:r>
    </w:p>
    <w:p w:rsidR="00C83480" w:rsidRPr="00C83480" w:rsidRDefault="00C83480" w:rsidP="00C83480"/>
    <w:p w:rsidR="00C83480" w:rsidRPr="00C83480" w:rsidRDefault="00C83480" w:rsidP="00C83480"/>
    <w:p w:rsidR="00C83480" w:rsidRPr="00C83480" w:rsidRDefault="00C83480" w:rsidP="00C83480"/>
    <w:p w:rsidR="00C83480" w:rsidRPr="00C83480" w:rsidRDefault="00C83480" w:rsidP="00C83480"/>
    <w:p w:rsidR="00C83480" w:rsidRPr="00C83480" w:rsidRDefault="00880A9B" w:rsidP="00C83480">
      <w:r>
        <w:pict>
          <v:shape id="_x0000_s1062" type="#_x0000_t202" style="position:absolute;margin-left:36pt;margin-top:6pt;width:54pt;height:25.2pt;z-index:251653632" stroked="f" strokeweight="0">
            <v:textbox>
              <w:txbxContent>
                <w:p w:rsidR="00C83480" w:rsidRPr="00AC0877" w:rsidRDefault="00C83480" w:rsidP="00C83480">
                  <w:pPr>
                    <w:rPr>
                      <w:vertAlign w:val="subscript"/>
                    </w:rPr>
                  </w:pPr>
                  <w:r>
                    <w:t>(CAG)</w:t>
                  </w:r>
                  <w:r>
                    <w:rPr>
                      <w:vertAlign w:val="subscript"/>
                    </w:rPr>
                    <w:t>5</w:t>
                  </w:r>
                </w:p>
              </w:txbxContent>
            </v:textbox>
          </v:shape>
        </w:pict>
      </w:r>
    </w:p>
    <w:p w:rsidR="00C83480" w:rsidRPr="00C83480" w:rsidRDefault="00880A9B" w:rsidP="00C83480">
      <w:r>
        <w:pict>
          <v:line id="_x0000_s1055" style="position:absolute;z-index:251646464" from="212.25pt,6.45pt" to="229.85pt,6.45pt" strokeweight="1.52mm"/>
        </w:pict>
      </w:r>
    </w:p>
    <w:p w:rsidR="00C83480" w:rsidRPr="00C83480" w:rsidRDefault="00880A9B" w:rsidP="00C83480">
      <w:r>
        <w:pict>
          <v:shape id="_x0000_s1061" type="#_x0000_t202" style="position:absolute;margin-left:270pt;margin-top:7.2pt;width:1in;height:25.2pt;z-index:251652608" stroked="f" strokeweight="0">
            <v:textbox>
              <w:txbxContent>
                <w:p w:rsidR="00C83480" w:rsidRDefault="00C83480" w:rsidP="00C83480">
                  <w:r>
                    <w:t>Smaller</w:t>
                  </w:r>
                </w:p>
              </w:txbxContent>
            </v:textbox>
          </v:shape>
        </w:pict>
      </w:r>
    </w:p>
    <w:p w:rsidR="00C83480" w:rsidRPr="00C83480" w:rsidRDefault="00C83480" w:rsidP="00C83480"/>
    <w:p w:rsidR="00C83480" w:rsidRPr="00C83480" w:rsidRDefault="00C83480" w:rsidP="00C83480"/>
    <w:p w:rsidR="00C83480" w:rsidRPr="00C83480" w:rsidRDefault="00C83480" w:rsidP="00C83480"/>
    <w:p w:rsidR="00F95367" w:rsidRDefault="001B6C0F" w:rsidP="001B6C0F">
      <w:r>
        <w:t xml:space="preserve">a) </w:t>
      </w:r>
      <w:r w:rsidR="00F95367">
        <w:t>What type of molecular marker is this?</w:t>
      </w:r>
    </w:p>
    <w:p w:rsidR="00F95367" w:rsidRDefault="00F95367" w:rsidP="001B6C0F"/>
    <w:p w:rsidR="00F95367" w:rsidRPr="004401E9" w:rsidRDefault="004401E9" w:rsidP="001B6C0F">
      <w:pPr>
        <w:rPr>
          <w:i/>
        </w:rPr>
      </w:pPr>
      <w:r>
        <w:rPr>
          <w:i/>
        </w:rPr>
        <w:t>SSR or microsatellite</w:t>
      </w:r>
    </w:p>
    <w:p w:rsidR="00F95367" w:rsidRDefault="00F95367" w:rsidP="001B6C0F"/>
    <w:p w:rsidR="00C83480" w:rsidRPr="00C83480" w:rsidRDefault="00F95367" w:rsidP="001B6C0F">
      <w:r>
        <w:t xml:space="preserve">b) </w:t>
      </w:r>
      <w:r w:rsidR="00C83480" w:rsidRPr="00C83480">
        <w:t>What is the genotype of Bob at the repeat locus?  What is the genotype of Jane at the repeat locus?</w:t>
      </w:r>
    </w:p>
    <w:p w:rsidR="00C83480" w:rsidRPr="00C83480" w:rsidRDefault="00C83480" w:rsidP="00C83480"/>
    <w:p w:rsidR="00C83480" w:rsidRPr="00C83480" w:rsidRDefault="00C83480" w:rsidP="00C83480"/>
    <w:p w:rsidR="00C83480" w:rsidRPr="004401E9" w:rsidRDefault="004401E9" w:rsidP="004401E9">
      <w:pPr>
        <w:ind w:left="1440"/>
        <w:rPr>
          <w:i/>
        </w:rPr>
      </w:pPr>
      <w:r w:rsidRPr="004F75D3">
        <w:rPr>
          <w:i/>
        </w:rPr>
        <w:t>Bob is (CAG)</w:t>
      </w:r>
      <w:r w:rsidRPr="004F75D3">
        <w:rPr>
          <w:i/>
          <w:vertAlign w:val="subscript"/>
        </w:rPr>
        <w:t xml:space="preserve">25 </w:t>
      </w:r>
      <w:r w:rsidRPr="004F75D3">
        <w:rPr>
          <w:i/>
        </w:rPr>
        <w:t xml:space="preserve"> and (CAG)</w:t>
      </w:r>
      <w:r w:rsidRPr="004F75D3">
        <w:rPr>
          <w:i/>
          <w:vertAlign w:val="subscript"/>
        </w:rPr>
        <w:t>5</w:t>
      </w:r>
      <w:r w:rsidRPr="004F75D3">
        <w:rPr>
          <w:i/>
        </w:rPr>
        <w:t>.  Jane is homozygous (CAG)</w:t>
      </w:r>
      <w:r w:rsidRPr="004F75D3">
        <w:rPr>
          <w:i/>
        </w:rPr>
        <w:softHyphen/>
      </w:r>
      <w:r w:rsidRPr="004F75D3">
        <w:rPr>
          <w:i/>
          <w:vertAlign w:val="subscript"/>
        </w:rPr>
        <w:t>5</w:t>
      </w:r>
      <w:r w:rsidRPr="004F75D3">
        <w:rPr>
          <w:i/>
        </w:rPr>
        <w:t>.</w:t>
      </w:r>
    </w:p>
    <w:p w:rsidR="00C83480" w:rsidRPr="00C83480" w:rsidRDefault="00C83480" w:rsidP="00C83480"/>
    <w:p w:rsidR="00C83480" w:rsidRPr="00C83480" w:rsidRDefault="00C83480" w:rsidP="00C83480"/>
    <w:p w:rsidR="00C83480" w:rsidRPr="00C83480" w:rsidRDefault="00F95367" w:rsidP="001B6C0F">
      <w:r>
        <w:t>c</w:t>
      </w:r>
      <w:r w:rsidR="001B6C0F">
        <w:t xml:space="preserve">) </w:t>
      </w:r>
      <w:r w:rsidR="00C83480" w:rsidRPr="00C83480">
        <w:t>Bob and Jane have a daughter named Sue.  PCR is used to amplify the repetitive region and gel electrophoresis is used to determine the number of repeats in Sue.  Draw out all possible PCR products in Sue assuming no new mutations have occurred.  Note: You may not need to use all the spaces provided.</w:t>
      </w:r>
    </w:p>
    <w:p w:rsidR="00C83480" w:rsidRPr="00C83480" w:rsidRDefault="00880A9B" w:rsidP="00C83480">
      <w:r>
        <w:pict>
          <v:shape id="_x0000_s1076" type="#_x0000_t202" style="position:absolute;margin-left:225pt;margin-top:10.25pt;width:36pt;height:18pt;z-index:251667968" stroked="f" strokeweight="0">
            <v:textbox>
              <w:txbxContent>
                <w:p w:rsidR="00C83480" w:rsidRPr="00AC0877" w:rsidRDefault="00C83480" w:rsidP="00C83480">
                  <w:pPr>
                    <w:rPr>
                      <w:vertAlign w:val="subscript"/>
                    </w:rPr>
                  </w:pPr>
                  <w:r>
                    <w:t>Sue</w:t>
                  </w:r>
                </w:p>
              </w:txbxContent>
            </v:textbox>
          </v:shape>
        </w:pict>
      </w:r>
      <w:r>
        <w:pict>
          <v:shape id="_x0000_s1077" type="#_x0000_t202" style="position:absolute;margin-left:279pt;margin-top:10.25pt;width:36pt;height:18pt;z-index:251668992" stroked="f" strokeweight="0">
            <v:textbox>
              <w:txbxContent>
                <w:p w:rsidR="00C83480" w:rsidRPr="00AC0877" w:rsidRDefault="00C83480" w:rsidP="00C83480">
                  <w:pPr>
                    <w:rPr>
                      <w:vertAlign w:val="subscript"/>
                    </w:rPr>
                  </w:pPr>
                  <w:r>
                    <w:t>Sue</w:t>
                  </w:r>
                </w:p>
              </w:txbxContent>
            </v:textbox>
          </v:shape>
        </w:pict>
      </w:r>
      <w:r>
        <w:pict>
          <v:shape id="_x0000_s1074" type="#_x0000_t202" style="position:absolute;margin-left:171pt;margin-top:10.25pt;width:36pt;height:18pt;z-index:251665920" stroked="f" strokeweight="0">
            <v:textbox>
              <w:txbxContent>
                <w:p w:rsidR="00C83480" w:rsidRPr="00AC0877" w:rsidRDefault="00C83480" w:rsidP="00C83480">
                  <w:pPr>
                    <w:rPr>
                      <w:vertAlign w:val="subscript"/>
                    </w:rPr>
                  </w:pPr>
                  <w:r>
                    <w:t>Sue</w:t>
                  </w:r>
                </w:p>
              </w:txbxContent>
            </v:textbox>
          </v:shape>
        </w:pict>
      </w:r>
    </w:p>
    <w:p w:rsidR="00C83480" w:rsidRPr="00C83480" w:rsidRDefault="00C83480" w:rsidP="00C83480"/>
    <w:p w:rsidR="00C83480" w:rsidRPr="00C83480" w:rsidRDefault="00880A9B" w:rsidP="00C83480">
      <w:r>
        <w:pict>
          <v:shape id="_x0000_s1078" type="#_x0000_t202" style="position:absolute;margin-left:0;margin-top:11.45pt;width:63pt;height:25.2pt;z-index:251670016" stroked="f" strokeweight="0">
            <v:textbox>
              <w:txbxContent>
                <w:p w:rsidR="00C83480" w:rsidRPr="00AC0877" w:rsidRDefault="00C83480" w:rsidP="00C83480">
                  <w:pPr>
                    <w:rPr>
                      <w:vertAlign w:val="subscript"/>
                    </w:rPr>
                  </w:pPr>
                  <w:r>
                    <w:t>(CAG)</w:t>
                  </w:r>
                  <w:r>
                    <w:rPr>
                      <w:vertAlign w:val="subscript"/>
                    </w:rPr>
                    <w:t>30</w:t>
                  </w:r>
                </w:p>
              </w:txbxContent>
            </v:textbox>
          </v:shape>
        </w:pict>
      </w:r>
      <w:r>
        <w:pict>
          <v:shape id="_x0000_s1069" type="#_x0000_t202" style="position:absolute;margin-left:342pt;margin-top:9.65pt;width:1in;height:25.2pt;z-index:251660800" stroked="f" strokeweight="0">
            <v:textbox>
              <w:txbxContent>
                <w:p w:rsidR="00C83480" w:rsidRDefault="00C83480" w:rsidP="00C83480">
                  <w:r>
                    <w:t>Larger</w:t>
                  </w:r>
                </w:p>
              </w:txbxContent>
            </v:textbox>
          </v:shape>
        </w:pict>
      </w:r>
      <w:r>
        <w:pict>
          <v:shape id="_x0000_s1075" type="#_x0000_t67" style="position:absolute;margin-left:333pt;margin-top:9.65pt;width:11.25pt;height:117pt;z-index:251666944"/>
        </w:pict>
      </w:r>
      <w:r>
        <w:pict>
          <v:rect id="_x0000_s1066" style="position:absolute;margin-left:95.3pt;margin-top:7.55pt;width:228.7pt;height:119.65pt;z-index:251657728;mso-wrap-style:none;v-text-anchor:middle">
            <v:fill r:id="rId7" o:title="" color2="black" type="tile"/>
            <v:stroke joinstyle="round"/>
          </v:rect>
        </w:pict>
      </w:r>
    </w:p>
    <w:p w:rsidR="00C83480" w:rsidRPr="00C83480" w:rsidRDefault="00880A9B" w:rsidP="00C83480">
      <w:r>
        <w:pict>
          <v:shape id="_x0000_s1079" type="#_x0000_t13" style="position:absolute;margin-left:67.1pt;margin-top:3.35pt;width:24.4pt;height:15.75pt;z-index:251671040;mso-wrap-style:none;v-text-anchor:middle" fillcolor="black">
            <v:stroke joinstyle="round"/>
          </v:shape>
        </w:pict>
      </w:r>
      <w:r>
        <w:pict>
          <v:shape id="_x0000_s1073" type="#_x0000_t202" style="position:absolute;margin-left:108pt;margin-top:-31.15pt;width:36pt;height:18pt;z-index:251664896" stroked="f" strokeweight="0">
            <v:textbox>
              <w:txbxContent>
                <w:p w:rsidR="00C83480" w:rsidRPr="00AC0877" w:rsidRDefault="00C83480" w:rsidP="00C83480">
                  <w:pPr>
                    <w:rPr>
                      <w:vertAlign w:val="subscript"/>
                    </w:rPr>
                  </w:pPr>
                  <w:r>
                    <w:t>Sue</w:t>
                  </w:r>
                </w:p>
              </w:txbxContent>
            </v:textbox>
          </v:shape>
        </w:pict>
      </w:r>
    </w:p>
    <w:p w:rsidR="00C83480" w:rsidRPr="00C83480" w:rsidRDefault="00C83480" w:rsidP="00C83480"/>
    <w:p w:rsidR="00C83480" w:rsidRPr="00C83480" w:rsidRDefault="00880A9B" w:rsidP="00C83480">
      <w:r>
        <w:pict>
          <v:shape id="_x0000_s1072" type="#_x0000_t202" style="position:absolute;margin-left:0;margin-top:6.05pt;width:63pt;height:25.2pt;z-index:251663872" stroked="f" strokeweight="0">
            <v:textbox>
              <w:txbxContent>
                <w:p w:rsidR="00C83480" w:rsidRPr="00AC0877" w:rsidRDefault="00C83480" w:rsidP="00C83480">
                  <w:pPr>
                    <w:rPr>
                      <w:vertAlign w:val="subscript"/>
                    </w:rPr>
                  </w:pPr>
                  <w:r>
                    <w:t>(CAG)</w:t>
                  </w:r>
                  <w:r w:rsidRPr="00AC0877">
                    <w:rPr>
                      <w:vertAlign w:val="subscript"/>
                    </w:rPr>
                    <w:t>2</w:t>
                  </w:r>
                  <w:r>
                    <w:rPr>
                      <w:vertAlign w:val="subscript"/>
                    </w:rPr>
                    <w:t>5</w:t>
                  </w:r>
                </w:p>
              </w:txbxContent>
            </v:textbox>
          </v:shape>
        </w:pict>
      </w:r>
      <w:r>
        <w:pict>
          <v:shape id="_x0000_s1068" type="#_x0000_t13" style="position:absolute;margin-left:67.15pt;margin-top:9.55pt;width:24.4pt;height:15.75pt;z-index:251659776;mso-wrap-style:none;v-text-anchor:middle" fillcolor="black">
            <v:stroke joinstyle="round"/>
          </v:shape>
        </w:pict>
      </w:r>
    </w:p>
    <w:p w:rsidR="00C83480" w:rsidRPr="00C83480" w:rsidRDefault="004401E9" w:rsidP="00C83480">
      <w:r>
        <w:rPr>
          <w:noProof/>
        </w:rPr>
        <w:pict>
          <v:line id="_x0000_s1083" style="position:absolute;z-index:251674112" from="117pt,1.55pt" to="134.6pt,1.55pt" strokeweight="1.52mm"/>
        </w:pict>
      </w:r>
    </w:p>
    <w:p w:rsidR="00C83480" w:rsidRPr="00C83480" w:rsidRDefault="00C83480" w:rsidP="00C83480"/>
    <w:p w:rsidR="00C83480" w:rsidRPr="00C83480" w:rsidRDefault="00880A9B" w:rsidP="00C83480">
      <w:r>
        <w:pict>
          <v:shape id="_x0000_s1071" type="#_x0000_t202" style="position:absolute;margin-left:9pt;margin-top:7.85pt;width:54pt;height:25.2pt;z-index:251662848" stroked="f" strokeweight="0">
            <v:textbox>
              <w:txbxContent>
                <w:p w:rsidR="00C83480" w:rsidRPr="00AC0877" w:rsidRDefault="00C83480" w:rsidP="00C83480">
                  <w:pPr>
                    <w:rPr>
                      <w:vertAlign w:val="subscript"/>
                    </w:rPr>
                  </w:pPr>
                  <w:r>
                    <w:t>(CAG)</w:t>
                  </w:r>
                  <w:r>
                    <w:rPr>
                      <w:vertAlign w:val="subscript"/>
                    </w:rPr>
                    <w:t>5</w:t>
                  </w:r>
                </w:p>
              </w:txbxContent>
            </v:textbox>
          </v:shape>
        </w:pict>
      </w:r>
    </w:p>
    <w:p w:rsidR="00C83480" w:rsidRPr="00C83480" w:rsidRDefault="004401E9" w:rsidP="00C83480">
      <w:r>
        <w:rPr>
          <w:noProof/>
        </w:rPr>
        <w:pict>
          <v:line id="_x0000_s1081" style="position:absolute;z-index:251672064" from="178.05pt,8.05pt" to="195.65pt,8.05pt" strokeweight="1.52mm"/>
        </w:pict>
      </w:r>
      <w:r>
        <w:rPr>
          <w:noProof/>
        </w:rPr>
        <w:pict>
          <v:line id="_x0000_s1082" style="position:absolute;z-index:251673088" from="117pt,7.4pt" to="134.6pt,7.4pt" strokeweight="1.52mm"/>
        </w:pict>
      </w:r>
      <w:r w:rsidR="00880A9B">
        <w:pict>
          <v:shape id="_x0000_s1067" type="#_x0000_t13" style="position:absolute;margin-left:66.75pt;margin-top:2.3pt;width:24.4pt;height:15.75pt;z-index:251658752;mso-wrap-style:none;v-text-anchor:middle" fillcolor="black">
            <v:stroke joinstyle="round"/>
          </v:shape>
        </w:pict>
      </w:r>
    </w:p>
    <w:p w:rsidR="00C83480" w:rsidRPr="00C83480" w:rsidRDefault="00880A9B" w:rsidP="00C83480">
      <w:r>
        <w:pict>
          <v:shape id="_x0000_s1070" type="#_x0000_t202" style="position:absolute;margin-left:342pt;margin-top:.05pt;width:1in;height:25.2pt;z-index:251661824" stroked="f" strokeweight="0">
            <v:textbox>
              <w:txbxContent>
                <w:p w:rsidR="00C83480" w:rsidRDefault="00C83480" w:rsidP="00C83480">
                  <w:r>
                    <w:t>Smaller</w:t>
                  </w:r>
                </w:p>
              </w:txbxContent>
            </v:textbox>
          </v:shape>
        </w:pict>
      </w:r>
    </w:p>
    <w:p w:rsidR="00C83480" w:rsidRPr="00C83480" w:rsidRDefault="00CE034C" w:rsidP="00CE034C">
      <w:r>
        <w:lastRenderedPageBreak/>
        <w:t xml:space="preserve">c) </w:t>
      </w:r>
      <w:r w:rsidR="00C83480" w:rsidRPr="00C83480">
        <w:t>Assume there was a mutation in one of the repeats from (CAG)</w:t>
      </w:r>
      <w:r w:rsidR="00C83480" w:rsidRPr="00C83480">
        <w:rPr>
          <w:vertAlign w:val="subscript"/>
        </w:rPr>
        <w:t>5</w:t>
      </w:r>
      <w:r w:rsidR="00C83480" w:rsidRPr="00C83480">
        <w:t xml:space="preserve"> to (CAG)</w:t>
      </w:r>
      <w:r w:rsidR="00C83480" w:rsidRPr="00C83480">
        <w:rPr>
          <w:vertAlign w:val="subscript"/>
        </w:rPr>
        <w:t>3</w:t>
      </w:r>
      <w:r w:rsidR="00C83480" w:rsidRPr="00C83480">
        <w:t>CA</w:t>
      </w:r>
      <w:r w:rsidR="00C83480" w:rsidRPr="00C83480">
        <w:rPr>
          <w:b/>
        </w:rPr>
        <w:t>T</w:t>
      </w:r>
      <w:r w:rsidR="00C83480" w:rsidRPr="00C83480">
        <w:t>CAG.  Would this mutation be detected by the 2-step (PCR and electrophoresis) technique used in this question?  Why or why not?</w:t>
      </w:r>
    </w:p>
    <w:p w:rsidR="00C83480" w:rsidRDefault="00C83480"/>
    <w:p w:rsidR="004401E9" w:rsidRPr="004F75D3" w:rsidRDefault="004401E9" w:rsidP="004401E9">
      <w:pPr>
        <w:ind w:left="720"/>
        <w:rPr>
          <w:i/>
        </w:rPr>
      </w:pPr>
      <w:r w:rsidRPr="004F75D3">
        <w:rPr>
          <w:i/>
        </w:rPr>
        <w:t>No, because this technique is only recognizing the length of the repeat.</w:t>
      </w:r>
    </w:p>
    <w:p w:rsidR="00CE034C" w:rsidRDefault="00CE034C"/>
    <w:p w:rsidR="00CE034C" w:rsidRDefault="00CE034C"/>
    <w:p w:rsidR="00CE034C" w:rsidRDefault="00CE034C"/>
    <w:p w:rsidR="00CE034C" w:rsidRDefault="00F95367" w:rsidP="00CE034C">
      <w:r>
        <w:t>2</w:t>
      </w:r>
      <w:r w:rsidR="00CE034C">
        <w:t>. The recurrence risk of heart disease in the monozygotic twin of a proband is 38%; in a dizygotic twin it is 16%; and in a full sibling it is 7%.</w:t>
      </w:r>
    </w:p>
    <w:p w:rsidR="00CE034C" w:rsidRDefault="00CE034C" w:rsidP="00CE034C"/>
    <w:p w:rsidR="00CE034C" w:rsidRDefault="00CE034C" w:rsidP="00CE034C">
      <w:r>
        <w:t>a) Why is the recurrence risk less for a dizygotic twin then it is for a monozygotic twin?</w:t>
      </w:r>
      <w:r w:rsidRPr="0000093F">
        <w:t xml:space="preserve"> </w:t>
      </w:r>
    </w:p>
    <w:p w:rsidR="00CE034C" w:rsidRDefault="00CE034C" w:rsidP="00CE034C"/>
    <w:p w:rsidR="004401E9" w:rsidRPr="003D6F8C" w:rsidRDefault="004401E9" w:rsidP="004401E9">
      <w:pPr>
        <w:rPr>
          <w:i/>
        </w:rPr>
      </w:pPr>
      <w:r w:rsidRPr="003D6F8C">
        <w:rPr>
          <w:i/>
        </w:rPr>
        <w:t>Because heart disease has a genetic component, and monozygotic twins share 100% of their genes, while dizygotic share only 50%.</w:t>
      </w:r>
    </w:p>
    <w:p w:rsidR="00CE034C" w:rsidRDefault="00CE034C" w:rsidP="00CE034C"/>
    <w:p w:rsidR="00CE034C" w:rsidRDefault="00CE034C" w:rsidP="00CE034C"/>
    <w:p w:rsidR="00CE034C" w:rsidRDefault="00CE034C" w:rsidP="00CE034C">
      <w:r>
        <w:t>b) Why is the recurrence risk less for a full sibling then it is for a dizygotic twin?</w:t>
      </w:r>
    </w:p>
    <w:p w:rsidR="00CE034C" w:rsidRDefault="00CE034C" w:rsidP="00CE034C"/>
    <w:p w:rsidR="004401E9" w:rsidRPr="003D6F8C" w:rsidRDefault="004401E9" w:rsidP="004401E9">
      <w:pPr>
        <w:rPr>
          <w:i/>
        </w:rPr>
      </w:pPr>
      <w:r w:rsidRPr="003D6F8C">
        <w:rPr>
          <w:i/>
        </w:rPr>
        <w:t>Because heart disease has an environmental component.  Although dizygotic twins share the same number of genes as full siblings, twins have a more similar environment than other siblings, both in the womb and throughout their childhoods.</w:t>
      </w:r>
    </w:p>
    <w:p w:rsidR="00CE034C" w:rsidRDefault="00CE034C" w:rsidP="00CE034C"/>
    <w:p w:rsidR="00CE034C" w:rsidRDefault="00CE034C" w:rsidP="00CE034C"/>
    <w:p w:rsidR="00CE034C" w:rsidRDefault="00F95367" w:rsidP="00CE034C">
      <w:r>
        <w:t>3</w:t>
      </w:r>
      <w:r w:rsidR="00CE034C">
        <w:t>. A case control study was done to find loci responsible for pancreatic cancer, using 100,000 genetic markers.  A given allele for a SNP was found to be highly associated with the occurrence of pancreatic cancer, p= 0.0001.</w:t>
      </w:r>
    </w:p>
    <w:p w:rsidR="00CE034C" w:rsidRDefault="00CE034C" w:rsidP="00CE034C"/>
    <w:p w:rsidR="00CE034C" w:rsidRDefault="00CE034C" w:rsidP="00CE034C">
      <w:r>
        <w:t>a) What are two possible explanations for this very low p-value?</w:t>
      </w:r>
    </w:p>
    <w:p w:rsidR="00CE034C" w:rsidRDefault="00CE034C" w:rsidP="00CE034C"/>
    <w:p w:rsidR="004401E9" w:rsidRDefault="004401E9" w:rsidP="004401E9"/>
    <w:p w:rsidR="004401E9" w:rsidRPr="003D6F8C" w:rsidRDefault="004401E9" w:rsidP="004401E9">
      <w:pPr>
        <w:rPr>
          <w:i/>
        </w:rPr>
      </w:pPr>
      <w:r w:rsidRPr="003D6F8C">
        <w:rPr>
          <w:i/>
        </w:rPr>
        <w:t>1) A gene responsible for pancreatic cancer is tightly linked to the genetic marker.</w:t>
      </w:r>
    </w:p>
    <w:p w:rsidR="004401E9" w:rsidRPr="003D6F8C" w:rsidRDefault="004401E9" w:rsidP="004401E9">
      <w:pPr>
        <w:rPr>
          <w:i/>
        </w:rPr>
      </w:pPr>
    </w:p>
    <w:p w:rsidR="00CE034C" w:rsidRPr="004401E9" w:rsidRDefault="004401E9" w:rsidP="00CE034C">
      <w:pPr>
        <w:rPr>
          <w:i/>
        </w:rPr>
      </w:pPr>
      <w:r w:rsidRPr="003D6F8C">
        <w:rPr>
          <w:i/>
        </w:rPr>
        <w:t>2) Since you looked at 100,000 genetic markers you expect to get p-values this small 10 times, just at random.</w:t>
      </w:r>
    </w:p>
    <w:p w:rsidR="00CE034C" w:rsidRDefault="00CE034C" w:rsidP="00CE034C"/>
    <w:p w:rsidR="00CE034C" w:rsidRDefault="00CE034C" w:rsidP="00CE034C">
      <w:r>
        <w:t>b) How would you distinguish between those hypotheses?</w:t>
      </w:r>
    </w:p>
    <w:p w:rsidR="00CE034C" w:rsidRDefault="00CE034C" w:rsidP="00CE034C"/>
    <w:p w:rsidR="004401E9" w:rsidRPr="00062D50" w:rsidRDefault="004401E9" w:rsidP="004401E9">
      <w:pPr>
        <w:rPr>
          <w:i/>
        </w:rPr>
      </w:pPr>
      <w:r w:rsidRPr="00062D50">
        <w:rPr>
          <w:i/>
        </w:rPr>
        <w:t>Do another study with more individuals and fewer markers.  Only look at the markers that had very low p-values in the first study.  If this marker is still highly associated with pancreatic cancer, then it is likely that it is in fact linked to an important gene.</w:t>
      </w:r>
    </w:p>
    <w:p w:rsidR="00CE034C" w:rsidRDefault="00CE034C" w:rsidP="00CE034C"/>
    <w:p w:rsidR="00CE034C" w:rsidRDefault="00CE034C" w:rsidP="00CE034C"/>
    <w:p w:rsidR="00CE034C" w:rsidRDefault="00CE034C" w:rsidP="00CE034C"/>
    <w:p w:rsidR="00CE034C" w:rsidRDefault="00CE034C" w:rsidP="00CE034C"/>
    <w:p w:rsidR="00CE034C" w:rsidRDefault="00CE034C" w:rsidP="00CE034C"/>
    <w:p w:rsidR="00CE034C" w:rsidRDefault="00CE034C" w:rsidP="00CE034C"/>
    <w:p w:rsidR="001B6C0F" w:rsidRDefault="001B6C0F"/>
    <w:sectPr w:rsidR="001B6C0F" w:rsidSect="00880A9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55D" w:rsidRDefault="00AF355D" w:rsidP="0013217C">
      <w:r>
        <w:separator/>
      </w:r>
    </w:p>
  </w:endnote>
  <w:endnote w:type="continuationSeparator" w:id="1">
    <w:p w:rsidR="00AF355D" w:rsidRDefault="00AF355D" w:rsidP="00132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7C" w:rsidRDefault="001321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7C" w:rsidRDefault="001321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7C" w:rsidRDefault="001321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55D" w:rsidRDefault="00AF355D" w:rsidP="0013217C">
      <w:r>
        <w:separator/>
      </w:r>
    </w:p>
  </w:footnote>
  <w:footnote w:type="continuationSeparator" w:id="1">
    <w:p w:rsidR="00AF355D" w:rsidRDefault="00AF355D" w:rsidP="00132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7C" w:rsidRDefault="001321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7C" w:rsidRDefault="0013217C">
    <w:pPr>
      <w:pStyle w:val="Header"/>
    </w:pPr>
    <w:r>
      <w:t>11/20/08</w:t>
    </w:r>
    <w:r>
      <w:tab/>
    </w:r>
    <w:r>
      <w:tab/>
      <w:t>Name: 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7C" w:rsidRDefault="001321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F82764D"/>
    <w:multiLevelType w:val="hybridMultilevel"/>
    <w:tmpl w:val="22DA5534"/>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1D1612"/>
    <w:rsid w:val="00040103"/>
    <w:rsid w:val="00101FB0"/>
    <w:rsid w:val="0013217C"/>
    <w:rsid w:val="001B6C0F"/>
    <w:rsid w:val="001D1612"/>
    <w:rsid w:val="00325ADA"/>
    <w:rsid w:val="0036302A"/>
    <w:rsid w:val="004401E9"/>
    <w:rsid w:val="00880A9B"/>
    <w:rsid w:val="00AF355D"/>
    <w:rsid w:val="00B763D5"/>
    <w:rsid w:val="00C4011C"/>
    <w:rsid w:val="00C83480"/>
    <w:rsid w:val="00CE034C"/>
    <w:rsid w:val="00DB674A"/>
    <w:rsid w:val="00F95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17C"/>
    <w:pPr>
      <w:tabs>
        <w:tab w:val="center" w:pos="4680"/>
        <w:tab w:val="right" w:pos="9360"/>
      </w:tabs>
    </w:pPr>
  </w:style>
  <w:style w:type="character" w:customStyle="1" w:styleId="HeaderChar">
    <w:name w:val="Header Char"/>
    <w:basedOn w:val="DefaultParagraphFont"/>
    <w:link w:val="Header"/>
    <w:uiPriority w:val="99"/>
    <w:rsid w:val="0013217C"/>
    <w:rPr>
      <w:sz w:val="24"/>
      <w:szCs w:val="24"/>
    </w:rPr>
  </w:style>
  <w:style w:type="paragraph" w:styleId="Footer">
    <w:name w:val="footer"/>
    <w:basedOn w:val="Normal"/>
    <w:link w:val="FooterChar"/>
    <w:uiPriority w:val="99"/>
    <w:semiHidden/>
    <w:unhideWhenUsed/>
    <w:rsid w:val="0013217C"/>
    <w:pPr>
      <w:tabs>
        <w:tab w:val="center" w:pos="4680"/>
        <w:tab w:val="right" w:pos="9360"/>
      </w:tabs>
    </w:pPr>
  </w:style>
  <w:style w:type="character" w:customStyle="1" w:styleId="FooterChar">
    <w:name w:val="Footer Char"/>
    <w:basedOn w:val="DefaultParagraphFont"/>
    <w:link w:val="Footer"/>
    <w:uiPriority w:val="99"/>
    <w:semiHidden/>
    <w:rsid w:val="0013217C"/>
    <w:rPr>
      <w:sz w:val="24"/>
      <w:szCs w:val="24"/>
    </w:rPr>
  </w:style>
  <w:style w:type="paragraph" w:styleId="BalloonText">
    <w:name w:val="Balloon Text"/>
    <w:basedOn w:val="Normal"/>
    <w:link w:val="BalloonTextChar"/>
    <w:uiPriority w:val="99"/>
    <w:semiHidden/>
    <w:unhideWhenUsed/>
    <w:rsid w:val="0013217C"/>
    <w:rPr>
      <w:rFonts w:ascii="Tahoma" w:hAnsi="Tahoma" w:cs="Tahoma"/>
      <w:sz w:val="16"/>
      <w:szCs w:val="16"/>
    </w:rPr>
  </w:style>
  <w:style w:type="character" w:customStyle="1" w:styleId="BalloonTextChar">
    <w:name w:val="Balloon Text Char"/>
    <w:basedOn w:val="DefaultParagraphFont"/>
    <w:link w:val="BalloonText"/>
    <w:uiPriority w:val="99"/>
    <w:semiHidden/>
    <w:rsid w:val="001321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6</vt:lpstr>
    </vt:vector>
  </TitlesOfParts>
  <Company>UC Berkeley</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Nathaniel Hallinan</dc:creator>
  <cp:lastModifiedBy>Kate</cp:lastModifiedBy>
  <cp:revision>2</cp:revision>
  <cp:lastPrinted>2008-11-19T01:51:00Z</cp:lastPrinted>
  <dcterms:created xsi:type="dcterms:W3CDTF">2008-11-25T23:23:00Z</dcterms:created>
  <dcterms:modified xsi:type="dcterms:W3CDTF">2008-11-25T23:23:00Z</dcterms:modified>
</cp:coreProperties>
</file>